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61E21" w14:textId="60099D7D" w:rsidR="00CD3622" w:rsidRPr="00366C19" w:rsidRDefault="000312C2" w:rsidP="00384B9D">
      <w:pPr>
        <w:spacing w:after="0" w:line="276" w:lineRule="auto"/>
        <w:rPr>
          <w:rFonts w:ascii="Century Gothic" w:hAnsi="Century Gothic"/>
          <w:b/>
          <w:bCs/>
          <w:u w:val="single"/>
        </w:rPr>
      </w:pPr>
      <w:r w:rsidRPr="00366C19">
        <w:rPr>
          <w:rFonts w:ascii="Century Gothic" w:hAnsi="Century Gothic"/>
          <w:b/>
          <w:bCs/>
          <w:u w:val="single"/>
        </w:rPr>
        <w:t>The Protected Characteristics and how we teach them at Parklands through PSHE</w:t>
      </w:r>
    </w:p>
    <w:p w14:paraId="4D41BF75" w14:textId="5B200588" w:rsidR="000312C2" w:rsidRDefault="00366C19" w:rsidP="00384B9D">
      <w:pPr>
        <w:spacing w:after="0" w:line="276" w:lineRule="auto"/>
        <w:rPr>
          <w:rFonts w:ascii="Century Gothic" w:hAnsi="Century Gothic"/>
        </w:rPr>
      </w:pPr>
      <w:r>
        <w:rPr>
          <w:rFonts w:ascii="Century Gothic" w:hAnsi="Century Gothic"/>
        </w:rPr>
        <w:t>Under the Equalities Act 2010, the protected characteristics are:</w:t>
      </w:r>
    </w:p>
    <w:p w14:paraId="52717F85" w14:textId="1B76EB53" w:rsidR="00366C19" w:rsidRDefault="00366C19" w:rsidP="00384B9D">
      <w:pPr>
        <w:spacing w:after="0" w:line="276" w:lineRule="auto"/>
        <w:rPr>
          <w:rFonts w:ascii="Century Gothic" w:hAnsi="Century Gothic"/>
        </w:rPr>
      </w:pPr>
      <w:r>
        <w:rPr>
          <w:rFonts w:ascii="Century Gothic" w:hAnsi="Century Gothic"/>
        </w:rPr>
        <w:t xml:space="preserve">Age, disability, gender reassignment, marriage and civil partnership, pregnancy and maternity, race, religion or belief, sex and sexual orientation. </w:t>
      </w:r>
    </w:p>
    <w:p w14:paraId="64AEDCAE" w14:textId="77777777" w:rsidR="00366C19" w:rsidRDefault="00366C19" w:rsidP="00384B9D">
      <w:pPr>
        <w:spacing w:after="0" w:line="276" w:lineRule="auto"/>
        <w:rPr>
          <w:rFonts w:ascii="Century Gothic" w:hAnsi="Century Gothic"/>
        </w:rPr>
      </w:pPr>
    </w:p>
    <w:p w14:paraId="0D47C929" w14:textId="0F66403C" w:rsidR="00366C19" w:rsidRDefault="00366C19" w:rsidP="00384B9D">
      <w:pPr>
        <w:spacing w:after="0" w:line="276" w:lineRule="auto"/>
        <w:rPr>
          <w:rFonts w:ascii="Century Gothic" w:hAnsi="Century Gothic"/>
          <w:u w:val="single"/>
        </w:rPr>
      </w:pPr>
      <w:r>
        <w:rPr>
          <w:rFonts w:ascii="Century Gothic" w:hAnsi="Century Gothic"/>
          <w:u w:val="single"/>
        </w:rPr>
        <w:t>How does Jigsaw ensure the teaching of protected characteristics is covered?</w:t>
      </w:r>
    </w:p>
    <w:p w14:paraId="130766E5" w14:textId="77777777" w:rsidR="00F3286C" w:rsidRDefault="00F3286C" w:rsidP="00384B9D">
      <w:pPr>
        <w:spacing w:after="0" w:line="276" w:lineRule="auto"/>
        <w:rPr>
          <w:rFonts w:ascii="Century Gothic" w:hAnsi="Century Gothic"/>
          <w:u w:val="single"/>
        </w:rPr>
      </w:pPr>
    </w:p>
    <w:p w14:paraId="7FC99075" w14:textId="0D41091D" w:rsidR="00366C19" w:rsidRDefault="0055596C" w:rsidP="00384B9D">
      <w:pPr>
        <w:spacing w:after="0" w:line="276" w:lineRule="auto"/>
        <w:rPr>
          <w:rFonts w:ascii="Century Gothic" w:hAnsi="Century Gothic"/>
          <w:u w:val="single"/>
        </w:rPr>
      </w:pPr>
      <w:r>
        <w:rPr>
          <w:rFonts w:ascii="Century Gothic" w:hAnsi="Century Gothic"/>
          <w:u w:val="single"/>
        </w:rPr>
        <w:t>Personal Development</w:t>
      </w:r>
    </w:p>
    <w:p w14:paraId="5911481A" w14:textId="7EC400E6" w:rsidR="0055596C" w:rsidRDefault="0055596C" w:rsidP="00384B9D">
      <w:pPr>
        <w:spacing w:after="0" w:line="276" w:lineRule="auto"/>
        <w:rPr>
          <w:rFonts w:ascii="Century Gothic" w:hAnsi="Century Gothic"/>
        </w:rPr>
      </w:pPr>
      <w:r>
        <w:rPr>
          <w:rFonts w:ascii="Century Gothic" w:hAnsi="Century Gothic"/>
        </w:rPr>
        <w:t xml:space="preserve">The education inspection framework (EIF) and the school inspection handbook explain that pupils’ understanding of the protected characteristics and how equality and diversity are promoted form part of the evidence that inspectors use to evaluate the school’s personal development of pupils. </w:t>
      </w:r>
    </w:p>
    <w:p w14:paraId="0EAE3AEF" w14:textId="77777777" w:rsidR="007B7D70" w:rsidRDefault="007B7D70" w:rsidP="00384B9D">
      <w:pPr>
        <w:spacing w:after="0" w:line="276" w:lineRule="auto"/>
        <w:rPr>
          <w:rFonts w:ascii="Century Gothic" w:hAnsi="Century Gothic"/>
        </w:rPr>
      </w:pPr>
    </w:p>
    <w:p w14:paraId="4232A805" w14:textId="3C406D4F" w:rsidR="0055596C" w:rsidRDefault="0055596C" w:rsidP="00384B9D">
      <w:pPr>
        <w:spacing w:after="0" w:line="276" w:lineRule="auto"/>
        <w:rPr>
          <w:rFonts w:ascii="Century Gothic" w:hAnsi="Century Gothic"/>
        </w:rPr>
      </w:pPr>
      <w:r>
        <w:rPr>
          <w:rFonts w:ascii="Century Gothic" w:hAnsi="Century Gothic"/>
        </w:rPr>
        <w:t xml:space="preserve">All primary schools should be able to </w:t>
      </w:r>
      <w:r w:rsidRPr="0055596C">
        <w:rPr>
          <w:rFonts w:ascii="Century Gothic" w:hAnsi="Century Gothic"/>
          <w:b/>
          <w:bCs/>
        </w:rPr>
        <w:t>demonstrate that no</w:t>
      </w:r>
      <w:r>
        <w:rPr>
          <w:rFonts w:ascii="Century Gothic" w:hAnsi="Century Gothic"/>
          <w:b/>
          <w:bCs/>
        </w:rPr>
        <w:t xml:space="preserve"> form of discrimination is tolerated </w:t>
      </w:r>
      <w:r>
        <w:rPr>
          <w:rFonts w:ascii="Century Gothic" w:hAnsi="Century Gothic"/>
        </w:rPr>
        <w:t xml:space="preserve">and that </w:t>
      </w:r>
      <w:r>
        <w:rPr>
          <w:rFonts w:ascii="Century Gothic" w:hAnsi="Century Gothic"/>
          <w:b/>
          <w:bCs/>
        </w:rPr>
        <w:t xml:space="preserve">pupils show respect for those who share the protected characteristics. </w:t>
      </w:r>
      <w:r w:rsidR="00653F46">
        <w:rPr>
          <w:rFonts w:ascii="Century Gothic" w:hAnsi="Century Gothic"/>
        </w:rPr>
        <w:t xml:space="preserve">Schools will be able to demonstrate this by pointing to a general policy of encouraging respect for all people. </w:t>
      </w:r>
    </w:p>
    <w:p w14:paraId="1B024FC3" w14:textId="77777777" w:rsidR="007B7D70" w:rsidRDefault="007B7D70" w:rsidP="00384B9D">
      <w:pPr>
        <w:spacing w:after="0" w:line="276" w:lineRule="auto"/>
        <w:rPr>
          <w:rFonts w:ascii="Century Gothic" w:hAnsi="Century Gothic"/>
        </w:rPr>
      </w:pPr>
    </w:p>
    <w:p w14:paraId="18145B72" w14:textId="4D17897D" w:rsidR="00653F46" w:rsidRDefault="00653F46" w:rsidP="00384B9D">
      <w:pPr>
        <w:spacing w:after="0" w:line="276" w:lineRule="auto"/>
        <w:rPr>
          <w:rFonts w:ascii="Century Gothic" w:hAnsi="Century Gothic"/>
        </w:rPr>
      </w:pPr>
      <w:r>
        <w:rPr>
          <w:rFonts w:ascii="Century Gothic" w:hAnsi="Century Gothic"/>
        </w:rPr>
        <w:t xml:space="preserve">The curriculum should be planned and delivered so that </w:t>
      </w:r>
      <w:r>
        <w:rPr>
          <w:rFonts w:ascii="Century Gothic" w:hAnsi="Century Gothic"/>
          <w:b/>
          <w:bCs/>
        </w:rPr>
        <w:t xml:space="preserve">children develop age-appropriate knowledge and </w:t>
      </w:r>
      <w:proofErr w:type="gramStart"/>
      <w:r>
        <w:rPr>
          <w:rFonts w:ascii="Century Gothic" w:hAnsi="Century Gothic"/>
          <w:b/>
          <w:bCs/>
        </w:rPr>
        <w:t xml:space="preserve">understanding </w:t>
      </w:r>
      <w:r>
        <w:rPr>
          <w:rFonts w:ascii="Century Gothic" w:hAnsi="Century Gothic"/>
        </w:rPr>
        <w:t xml:space="preserve"> during</w:t>
      </w:r>
      <w:proofErr w:type="gramEnd"/>
      <w:r>
        <w:rPr>
          <w:rFonts w:ascii="Century Gothic" w:hAnsi="Century Gothic"/>
        </w:rPr>
        <w:t xml:space="preserve"> their time at the school. </w:t>
      </w:r>
    </w:p>
    <w:p w14:paraId="064816EB" w14:textId="77777777" w:rsidR="00D40337" w:rsidRDefault="00653F46" w:rsidP="00384B9D">
      <w:pPr>
        <w:spacing w:after="0" w:line="276" w:lineRule="auto"/>
        <w:rPr>
          <w:rFonts w:ascii="Century Gothic" w:hAnsi="Century Gothic"/>
        </w:rPr>
      </w:pPr>
      <w:r>
        <w:rPr>
          <w:rFonts w:ascii="Century Gothic" w:hAnsi="Century Gothic"/>
        </w:rPr>
        <w:t>If a school does not promote pupils’ awareness and understanding</w:t>
      </w:r>
      <w:r w:rsidR="00D40337">
        <w:rPr>
          <w:rFonts w:ascii="Century Gothic" w:hAnsi="Century Gothic"/>
        </w:rPr>
        <w:t xml:space="preserve"> of all the protected characteristics effectively, this may result in a ‘requires improvement’ judgement for personal development.</w:t>
      </w:r>
    </w:p>
    <w:p w14:paraId="286DC6E9" w14:textId="77777777" w:rsidR="00D40337" w:rsidRDefault="00D40337" w:rsidP="00384B9D">
      <w:pPr>
        <w:spacing w:after="0" w:line="276" w:lineRule="auto"/>
        <w:rPr>
          <w:rFonts w:ascii="Century Gothic" w:hAnsi="Century Gothic"/>
        </w:rPr>
      </w:pPr>
    </w:p>
    <w:p w14:paraId="00631484" w14:textId="77777777" w:rsidR="00D40337" w:rsidRDefault="00D40337" w:rsidP="00384B9D">
      <w:pPr>
        <w:spacing w:after="0" w:line="276" w:lineRule="auto"/>
        <w:rPr>
          <w:rFonts w:ascii="Century Gothic" w:hAnsi="Century Gothic"/>
        </w:rPr>
      </w:pPr>
      <w:r>
        <w:rPr>
          <w:rFonts w:ascii="Century Gothic" w:hAnsi="Century Gothic"/>
        </w:rPr>
        <w:t xml:space="preserve">The Jigsaw curriculum can help schools understand and promote these characteristics more fully </w:t>
      </w:r>
      <w:proofErr w:type="gramStart"/>
      <w:r>
        <w:rPr>
          <w:rFonts w:ascii="Century Gothic" w:hAnsi="Century Gothic"/>
        </w:rPr>
        <w:t>and in a pupil</w:t>
      </w:r>
      <w:proofErr w:type="gramEnd"/>
      <w:r>
        <w:rPr>
          <w:rFonts w:ascii="Century Gothic" w:hAnsi="Century Gothic"/>
        </w:rPr>
        <w:t xml:space="preserve">-centred way. </w:t>
      </w:r>
    </w:p>
    <w:p w14:paraId="0E8CC06F" w14:textId="77777777" w:rsidR="007B7D70" w:rsidRDefault="007B7D70" w:rsidP="00384B9D">
      <w:pPr>
        <w:spacing w:after="0" w:line="276" w:lineRule="auto"/>
        <w:rPr>
          <w:rFonts w:ascii="Century Gothic" w:hAnsi="Century Gothic"/>
        </w:rPr>
      </w:pPr>
    </w:p>
    <w:p w14:paraId="0C546D11" w14:textId="42BAAD07" w:rsidR="00653F46" w:rsidRDefault="00D40337" w:rsidP="00384B9D">
      <w:pPr>
        <w:spacing w:after="0" w:line="276" w:lineRule="auto"/>
        <w:rPr>
          <w:rFonts w:ascii="Century Gothic" w:hAnsi="Century Gothic"/>
        </w:rPr>
      </w:pPr>
      <w:r>
        <w:rPr>
          <w:rFonts w:ascii="Century Gothic" w:hAnsi="Century Gothic"/>
        </w:rPr>
        <w:t xml:space="preserve">Ground rules are fundamental to creating and maintaining an inclusive and safe teaching and learning environment. Establishing such an environment for both pupils </w:t>
      </w:r>
      <w:r w:rsidR="002119F3">
        <w:rPr>
          <w:rFonts w:ascii="Century Gothic" w:hAnsi="Century Gothic"/>
        </w:rPr>
        <w:t>and teachers is important for PSHE education lessons – especially those focusing on equality and the protected characteristics, as it:</w:t>
      </w:r>
    </w:p>
    <w:p w14:paraId="79DFC1D9" w14:textId="42E12F06" w:rsidR="002119F3" w:rsidRDefault="002119F3" w:rsidP="00384B9D">
      <w:pPr>
        <w:pStyle w:val="ListParagraph"/>
        <w:numPr>
          <w:ilvl w:val="0"/>
          <w:numId w:val="1"/>
        </w:numPr>
        <w:spacing w:after="0" w:line="276" w:lineRule="auto"/>
        <w:rPr>
          <w:rFonts w:ascii="Century Gothic" w:hAnsi="Century Gothic"/>
        </w:rPr>
      </w:pPr>
      <w:r>
        <w:rPr>
          <w:rFonts w:ascii="Century Gothic" w:hAnsi="Century Gothic"/>
        </w:rPr>
        <w:t>enables them to feel comfortable exploring values and attitudes</w:t>
      </w:r>
    </w:p>
    <w:p w14:paraId="4A9D748D" w14:textId="1915C57D" w:rsidR="002119F3" w:rsidRDefault="002119F3" w:rsidP="00384B9D">
      <w:pPr>
        <w:pStyle w:val="ListParagraph"/>
        <w:numPr>
          <w:ilvl w:val="0"/>
          <w:numId w:val="1"/>
        </w:numPr>
        <w:spacing w:after="0" w:line="276" w:lineRule="auto"/>
        <w:rPr>
          <w:rFonts w:ascii="Century Gothic" w:hAnsi="Century Gothic"/>
        </w:rPr>
      </w:pPr>
      <w:r>
        <w:rPr>
          <w:rFonts w:ascii="Century Gothic" w:hAnsi="Century Gothic"/>
        </w:rPr>
        <w:t xml:space="preserve">enables them to express their own opinions and consider the views and opinions of others, without the fear of negative feedback, and only if they choose to. </w:t>
      </w:r>
    </w:p>
    <w:p w14:paraId="07A184FD" w14:textId="77777777" w:rsidR="00F3286C" w:rsidRDefault="00F3286C" w:rsidP="00384B9D">
      <w:pPr>
        <w:spacing w:after="0" w:line="276" w:lineRule="auto"/>
        <w:rPr>
          <w:rFonts w:ascii="Century Gothic" w:hAnsi="Century Gothic"/>
        </w:rPr>
      </w:pPr>
    </w:p>
    <w:p w14:paraId="611FE5FF" w14:textId="6085C9F4" w:rsidR="002119F3" w:rsidRDefault="002119F3" w:rsidP="00384B9D">
      <w:pPr>
        <w:spacing w:after="0" w:line="276" w:lineRule="auto"/>
        <w:rPr>
          <w:rFonts w:ascii="Century Gothic" w:hAnsi="Century Gothic"/>
        </w:rPr>
      </w:pPr>
      <w:r>
        <w:rPr>
          <w:rFonts w:ascii="Century Gothic" w:hAnsi="Century Gothic"/>
        </w:rPr>
        <w:t xml:space="preserve">In Jigsaw this happens in every single lesson. </w:t>
      </w:r>
      <w:r w:rsidR="007D0876">
        <w:rPr>
          <w:rFonts w:ascii="Century Gothic" w:hAnsi="Century Gothic"/>
        </w:rPr>
        <w:t xml:space="preserve">It is crucial to establish a </w:t>
      </w:r>
      <w:r w:rsidR="007D0876">
        <w:rPr>
          <w:rFonts w:ascii="Century Gothic" w:hAnsi="Century Gothic"/>
          <w:b/>
          <w:bCs/>
        </w:rPr>
        <w:t xml:space="preserve">safe, open and inclusive </w:t>
      </w:r>
      <w:r w:rsidR="007D0876">
        <w:rPr>
          <w:rFonts w:ascii="Century Gothic" w:hAnsi="Century Gothic"/>
        </w:rPr>
        <w:t xml:space="preserve">learning environment based on trusting relationships between all members of the class, adults and students alike. To enable this, it is important that ‘ground rules’ are agreed and owned at the beginning of the year and reinforced in every lesson – by using the Jigsaw Charter which is signed by every child and adult in the class. </w:t>
      </w:r>
    </w:p>
    <w:p w14:paraId="37989A12" w14:textId="77777777" w:rsidR="00F3286C" w:rsidRDefault="00F3286C" w:rsidP="00384B9D">
      <w:pPr>
        <w:spacing w:after="0" w:line="276" w:lineRule="auto"/>
        <w:rPr>
          <w:rFonts w:ascii="Century Gothic" w:hAnsi="Century Gothic"/>
        </w:rPr>
      </w:pPr>
    </w:p>
    <w:p w14:paraId="1A3676F7" w14:textId="5A778E3D" w:rsidR="007D0876" w:rsidRDefault="007D0876" w:rsidP="00384B9D">
      <w:pPr>
        <w:spacing w:after="0" w:line="276" w:lineRule="auto"/>
        <w:rPr>
          <w:rFonts w:ascii="Century Gothic" w:hAnsi="Century Gothic"/>
        </w:rPr>
      </w:pPr>
      <w:r>
        <w:rPr>
          <w:rFonts w:ascii="Century Gothic" w:hAnsi="Century Gothic"/>
        </w:rPr>
        <w:t xml:space="preserve">One of the most important elements of the charter is the </w:t>
      </w:r>
      <w:r>
        <w:rPr>
          <w:rFonts w:ascii="Century Gothic" w:hAnsi="Century Gothic"/>
          <w:b/>
          <w:bCs/>
        </w:rPr>
        <w:t xml:space="preserve">Right to Pass, </w:t>
      </w:r>
      <w:r>
        <w:rPr>
          <w:rFonts w:ascii="Century Gothic" w:hAnsi="Century Gothic"/>
        </w:rPr>
        <w:t xml:space="preserve">where children understand that they do not have to participate in the discussion/activity if </w:t>
      </w:r>
      <w:r>
        <w:rPr>
          <w:rFonts w:ascii="Century Gothic" w:hAnsi="Century Gothic"/>
        </w:rPr>
        <w:lastRenderedPageBreak/>
        <w:t xml:space="preserve">they do not wish to. This creates a space where they can feel </w:t>
      </w:r>
      <w:proofErr w:type="gramStart"/>
      <w:r>
        <w:rPr>
          <w:rFonts w:ascii="Century Gothic" w:hAnsi="Century Gothic"/>
        </w:rPr>
        <w:t>safe</w:t>
      </w:r>
      <w:proofErr w:type="gramEnd"/>
      <w:r>
        <w:rPr>
          <w:rFonts w:ascii="Century Gothic" w:hAnsi="Century Gothic"/>
        </w:rPr>
        <w:t xml:space="preserve"> and their wishes are taken seriously by adults and peers alike. This is vital when teaching about safeguarding in both an implicit and explicit way</w:t>
      </w:r>
      <w:r w:rsidR="00CB33B5">
        <w:rPr>
          <w:rFonts w:ascii="Century Gothic" w:hAnsi="Century Gothic"/>
        </w:rPr>
        <w:t xml:space="preserve">. They choose whether they speak or not and their right to pass is upheld and respected. </w:t>
      </w:r>
    </w:p>
    <w:p w14:paraId="722C4204" w14:textId="77777777" w:rsidR="00F3286C" w:rsidRDefault="00F3286C" w:rsidP="00384B9D">
      <w:pPr>
        <w:spacing w:after="0" w:line="276" w:lineRule="auto"/>
        <w:rPr>
          <w:rFonts w:ascii="Century Gothic" w:hAnsi="Century Gothic"/>
        </w:rPr>
      </w:pPr>
    </w:p>
    <w:p w14:paraId="7984A302" w14:textId="745B6B32" w:rsidR="00CB33B5" w:rsidRDefault="00CB33B5" w:rsidP="00384B9D">
      <w:pPr>
        <w:spacing w:after="0" w:line="276" w:lineRule="auto"/>
        <w:rPr>
          <w:rFonts w:ascii="Century Gothic" w:hAnsi="Century Gothic"/>
        </w:rPr>
      </w:pPr>
      <w:r>
        <w:rPr>
          <w:rFonts w:ascii="Century Gothic" w:hAnsi="Century Gothic"/>
        </w:rPr>
        <w:t xml:space="preserve">The Jigsaw Charter refers to </w:t>
      </w:r>
      <w:r>
        <w:rPr>
          <w:rFonts w:ascii="Century Gothic" w:hAnsi="Century Gothic"/>
          <w:b/>
          <w:bCs/>
        </w:rPr>
        <w:t xml:space="preserve">confidentiality </w:t>
      </w:r>
      <w:r>
        <w:rPr>
          <w:rFonts w:ascii="Century Gothic" w:hAnsi="Century Gothic"/>
        </w:rPr>
        <w:t xml:space="preserve">too. Although, realistically, it is unlikely that complete confidentiality will be observed, it is important that children are taught to respect the privacy of others and to do their best to keep what is said in Jigsaw lessons confidential. Children will need to be taught the difference between confidentiality and keeping a secret. The teacher must emphasise that they cannot promise complete confidentiality as they must report any information relating to safeguarding concerns. </w:t>
      </w:r>
    </w:p>
    <w:p w14:paraId="005B0768" w14:textId="77777777" w:rsidR="00F3286C" w:rsidRDefault="00F3286C" w:rsidP="00384B9D">
      <w:pPr>
        <w:spacing w:after="0" w:line="276" w:lineRule="auto"/>
        <w:rPr>
          <w:rFonts w:ascii="Century Gothic" w:hAnsi="Century Gothic"/>
        </w:rPr>
      </w:pPr>
    </w:p>
    <w:p w14:paraId="02339BFC" w14:textId="26ED802D" w:rsidR="00CB33B5" w:rsidRDefault="00CB33B5" w:rsidP="00384B9D">
      <w:pPr>
        <w:spacing w:after="0" w:line="276" w:lineRule="auto"/>
        <w:rPr>
          <w:rFonts w:ascii="Century Gothic" w:hAnsi="Century Gothic"/>
        </w:rPr>
      </w:pPr>
      <w:r>
        <w:rPr>
          <w:rFonts w:ascii="Century Gothic" w:hAnsi="Century Gothic"/>
        </w:rPr>
        <w:t xml:space="preserve">In terms of content, the Puzzle ‘Celebrating Difference’ is the most pertinent of units for teaching about the protected characteristics, as it focuses on similarities and differences and teaches about diversity such as disability, racism, gender, family composition, friendships and conflict. Children learn to respect everyone’s right to ‘difference’. Bullying – what it is and what it isn’t, is an important aspect of this Puzzle. </w:t>
      </w:r>
    </w:p>
    <w:p w14:paraId="6799F549" w14:textId="77777777" w:rsidR="007B7D70" w:rsidRDefault="007B7D70" w:rsidP="00384B9D">
      <w:pPr>
        <w:spacing w:after="0" w:line="276" w:lineRule="auto"/>
        <w:rPr>
          <w:rFonts w:ascii="Century Gothic" w:hAnsi="Century Gothic"/>
        </w:rPr>
      </w:pPr>
    </w:p>
    <w:p w14:paraId="4C48C2DF" w14:textId="77777777" w:rsidR="007B7D70" w:rsidRDefault="00CB33B5" w:rsidP="00384B9D">
      <w:pPr>
        <w:spacing w:after="0" w:line="276" w:lineRule="auto"/>
        <w:rPr>
          <w:rFonts w:ascii="Century Gothic" w:hAnsi="Century Gothic"/>
        </w:rPr>
      </w:pPr>
      <w:r>
        <w:rPr>
          <w:rFonts w:ascii="Century Gothic" w:hAnsi="Century Gothic"/>
        </w:rPr>
        <w:t xml:space="preserve">The ’Relationships’ Puzzle also has a wide focus, looking at diverse topics such as families, friendships, equality in relationships, and love and loss – all of which help to deliver the vital messages behind the Equality Act. A vital part of this Puzzle is about safeguarding and keeping children </w:t>
      </w:r>
      <w:proofErr w:type="gramStart"/>
      <w:r>
        <w:rPr>
          <w:rFonts w:ascii="Century Gothic" w:hAnsi="Century Gothic"/>
        </w:rPr>
        <w:t>safe;</w:t>
      </w:r>
      <w:proofErr w:type="gramEnd"/>
      <w:r>
        <w:rPr>
          <w:rFonts w:ascii="Century Gothic" w:hAnsi="Century Gothic"/>
        </w:rPr>
        <w:t xml:space="preserve"> this links to cyber safety and social networking. Children learn how to deal with conflict, their own strengths and self-esteem. They have the chance to explore roles and responsibilities in families and look at gender stereotypes. </w:t>
      </w:r>
    </w:p>
    <w:p w14:paraId="341DDAFB" w14:textId="77777777" w:rsidR="007B7D70" w:rsidRDefault="007B7D70" w:rsidP="00384B9D">
      <w:pPr>
        <w:spacing w:after="0" w:line="276" w:lineRule="auto"/>
        <w:rPr>
          <w:rFonts w:ascii="Century Gothic" w:hAnsi="Century Gothic"/>
        </w:rPr>
      </w:pPr>
    </w:p>
    <w:p w14:paraId="741E5EA8" w14:textId="1E68C36C" w:rsidR="00CB33B5" w:rsidRDefault="00811C70" w:rsidP="00384B9D">
      <w:pPr>
        <w:spacing w:after="0" w:line="276" w:lineRule="auto"/>
        <w:rPr>
          <w:rFonts w:ascii="Century Gothic" w:hAnsi="Century Gothic"/>
        </w:rPr>
      </w:pPr>
      <w:r>
        <w:rPr>
          <w:rFonts w:ascii="Century Gothic" w:hAnsi="Century Gothic"/>
        </w:rPr>
        <w:t xml:space="preserve">All Jigsaw lessons are delivered in an age- and stage-appropriate way so that they meet pupils’ needs and help them understand the wider world. </w:t>
      </w:r>
    </w:p>
    <w:p w14:paraId="5DE078C4" w14:textId="77777777" w:rsidR="00811C70" w:rsidRDefault="00811C70" w:rsidP="00F3286C">
      <w:pPr>
        <w:spacing w:after="0" w:line="240" w:lineRule="auto"/>
        <w:rPr>
          <w:rFonts w:ascii="Century Gothic" w:hAnsi="Century Gothic"/>
        </w:rPr>
      </w:pPr>
    </w:p>
    <w:p w14:paraId="3791180D" w14:textId="77777777" w:rsidR="00811C70" w:rsidRDefault="00811C70" w:rsidP="00F3286C">
      <w:pPr>
        <w:spacing w:after="0" w:line="240" w:lineRule="auto"/>
        <w:rPr>
          <w:rFonts w:ascii="Century Gothic" w:hAnsi="Century Gothic"/>
        </w:rPr>
      </w:pPr>
    </w:p>
    <w:p w14:paraId="1230623B" w14:textId="77777777" w:rsidR="007B7D70" w:rsidRDefault="007B7D70" w:rsidP="00F3286C">
      <w:pPr>
        <w:spacing w:after="0" w:line="240" w:lineRule="auto"/>
        <w:rPr>
          <w:rFonts w:ascii="Century Gothic" w:hAnsi="Century Gothic"/>
          <w:u w:val="single"/>
        </w:rPr>
      </w:pPr>
    </w:p>
    <w:p w14:paraId="43098DFD" w14:textId="77777777" w:rsidR="007B7D70" w:rsidRDefault="007B7D70" w:rsidP="00F3286C">
      <w:pPr>
        <w:spacing w:after="0" w:line="240" w:lineRule="auto"/>
        <w:rPr>
          <w:rFonts w:ascii="Century Gothic" w:hAnsi="Century Gothic"/>
          <w:u w:val="single"/>
        </w:rPr>
      </w:pPr>
    </w:p>
    <w:p w14:paraId="68759FCC" w14:textId="77777777" w:rsidR="007B7D70" w:rsidRDefault="007B7D70" w:rsidP="00F3286C">
      <w:pPr>
        <w:spacing w:after="0" w:line="240" w:lineRule="auto"/>
        <w:rPr>
          <w:rFonts w:ascii="Century Gothic" w:hAnsi="Century Gothic"/>
          <w:u w:val="single"/>
        </w:rPr>
      </w:pPr>
    </w:p>
    <w:p w14:paraId="6D38F106" w14:textId="77777777" w:rsidR="007B7D70" w:rsidRDefault="007B7D70" w:rsidP="00F3286C">
      <w:pPr>
        <w:spacing w:after="0" w:line="240" w:lineRule="auto"/>
        <w:rPr>
          <w:rFonts w:ascii="Century Gothic" w:hAnsi="Century Gothic"/>
          <w:u w:val="single"/>
        </w:rPr>
      </w:pPr>
    </w:p>
    <w:p w14:paraId="1A4A4436" w14:textId="77777777" w:rsidR="007B7D70" w:rsidRDefault="007B7D70" w:rsidP="00F3286C">
      <w:pPr>
        <w:spacing w:after="0" w:line="240" w:lineRule="auto"/>
        <w:rPr>
          <w:rFonts w:ascii="Century Gothic" w:hAnsi="Century Gothic"/>
          <w:u w:val="single"/>
        </w:rPr>
      </w:pPr>
    </w:p>
    <w:p w14:paraId="40797CE5" w14:textId="77777777" w:rsidR="007B7D70" w:rsidRDefault="007B7D70" w:rsidP="00F3286C">
      <w:pPr>
        <w:spacing w:after="0" w:line="240" w:lineRule="auto"/>
        <w:rPr>
          <w:rFonts w:ascii="Century Gothic" w:hAnsi="Century Gothic"/>
          <w:u w:val="single"/>
        </w:rPr>
      </w:pPr>
    </w:p>
    <w:p w14:paraId="4DCEF31B" w14:textId="77777777" w:rsidR="007B7D70" w:rsidRDefault="007B7D70" w:rsidP="00F3286C">
      <w:pPr>
        <w:spacing w:after="0" w:line="240" w:lineRule="auto"/>
        <w:rPr>
          <w:rFonts w:ascii="Century Gothic" w:hAnsi="Century Gothic"/>
          <w:u w:val="single"/>
        </w:rPr>
      </w:pPr>
    </w:p>
    <w:p w14:paraId="215E4024" w14:textId="77777777" w:rsidR="007B7D70" w:rsidRDefault="007B7D70" w:rsidP="00F3286C">
      <w:pPr>
        <w:spacing w:after="0" w:line="240" w:lineRule="auto"/>
        <w:rPr>
          <w:rFonts w:ascii="Century Gothic" w:hAnsi="Century Gothic"/>
          <w:u w:val="single"/>
        </w:rPr>
      </w:pPr>
    </w:p>
    <w:p w14:paraId="2B5C508A" w14:textId="77777777" w:rsidR="007B7D70" w:rsidRDefault="007B7D70" w:rsidP="00F3286C">
      <w:pPr>
        <w:spacing w:after="0" w:line="240" w:lineRule="auto"/>
        <w:rPr>
          <w:rFonts w:ascii="Century Gothic" w:hAnsi="Century Gothic"/>
          <w:u w:val="single"/>
        </w:rPr>
      </w:pPr>
    </w:p>
    <w:p w14:paraId="51DE29AC" w14:textId="77777777" w:rsidR="007B7D70" w:rsidRDefault="007B7D70" w:rsidP="00F3286C">
      <w:pPr>
        <w:spacing w:after="0" w:line="240" w:lineRule="auto"/>
        <w:rPr>
          <w:rFonts w:ascii="Century Gothic" w:hAnsi="Century Gothic"/>
          <w:u w:val="single"/>
        </w:rPr>
      </w:pPr>
    </w:p>
    <w:p w14:paraId="18ED57CC" w14:textId="77777777" w:rsidR="007B7D70" w:rsidRDefault="007B7D70" w:rsidP="00F3286C">
      <w:pPr>
        <w:spacing w:after="0" w:line="240" w:lineRule="auto"/>
        <w:rPr>
          <w:rFonts w:ascii="Century Gothic" w:hAnsi="Century Gothic"/>
          <w:u w:val="single"/>
        </w:rPr>
      </w:pPr>
    </w:p>
    <w:p w14:paraId="1DC4289A" w14:textId="77777777" w:rsidR="007B7D70" w:rsidRDefault="007B7D70" w:rsidP="00F3286C">
      <w:pPr>
        <w:spacing w:after="0" w:line="240" w:lineRule="auto"/>
        <w:rPr>
          <w:rFonts w:ascii="Century Gothic" w:hAnsi="Century Gothic"/>
          <w:u w:val="single"/>
        </w:rPr>
      </w:pPr>
    </w:p>
    <w:p w14:paraId="51C3F64A" w14:textId="77777777" w:rsidR="007B7D70" w:rsidRDefault="007B7D70" w:rsidP="00F3286C">
      <w:pPr>
        <w:spacing w:after="0" w:line="240" w:lineRule="auto"/>
        <w:rPr>
          <w:rFonts w:ascii="Century Gothic" w:hAnsi="Century Gothic"/>
          <w:u w:val="single"/>
        </w:rPr>
      </w:pPr>
    </w:p>
    <w:p w14:paraId="6C30E724" w14:textId="77777777" w:rsidR="007B7D70" w:rsidRDefault="007B7D70" w:rsidP="00F3286C">
      <w:pPr>
        <w:spacing w:after="0" w:line="240" w:lineRule="auto"/>
        <w:rPr>
          <w:rFonts w:ascii="Century Gothic" w:hAnsi="Century Gothic"/>
          <w:u w:val="single"/>
        </w:rPr>
      </w:pPr>
    </w:p>
    <w:p w14:paraId="0F78A591" w14:textId="77777777" w:rsidR="007B7D70" w:rsidRDefault="007B7D70" w:rsidP="00F3286C">
      <w:pPr>
        <w:spacing w:after="0" w:line="240" w:lineRule="auto"/>
        <w:rPr>
          <w:rFonts w:ascii="Century Gothic" w:hAnsi="Century Gothic"/>
          <w:u w:val="single"/>
        </w:rPr>
      </w:pPr>
    </w:p>
    <w:p w14:paraId="678CB4A7" w14:textId="77777777" w:rsidR="007B7D70" w:rsidRDefault="007B7D70" w:rsidP="00F3286C">
      <w:pPr>
        <w:spacing w:after="0" w:line="240" w:lineRule="auto"/>
        <w:rPr>
          <w:rFonts w:ascii="Century Gothic" w:hAnsi="Century Gothic"/>
          <w:u w:val="single"/>
        </w:rPr>
      </w:pPr>
    </w:p>
    <w:p w14:paraId="0CF460C5" w14:textId="22746D2A" w:rsidR="00811C70" w:rsidRDefault="00F63ECC" w:rsidP="00F3286C">
      <w:pPr>
        <w:spacing w:after="0" w:line="240" w:lineRule="auto"/>
        <w:rPr>
          <w:rFonts w:ascii="Century Gothic" w:hAnsi="Century Gothic"/>
          <w:u w:val="single"/>
        </w:rPr>
      </w:pPr>
      <w:r>
        <w:rPr>
          <w:rFonts w:ascii="Century Gothic" w:hAnsi="Century Gothic"/>
          <w:u w:val="single"/>
        </w:rPr>
        <w:lastRenderedPageBreak/>
        <w:t>Explicit</w:t>
      </w:r>
      <w:r w:rsidR="00811C70">
        <w:rPr>
          <w:rFonts w:ascii="Century Gothic" w:hAnsi="Century Gothic"/>
          <w:u w:val="single"/>
        </w:rPr>
        <w:t xml:space="preserve"> coverage of protected characteristics</w:t>
      </w:r>
    </w:p>
    <w:p w14:paraId="5C69530E" w14:textId="77777777" w:rsidR="00F3286C" w:rsidRDefault="00F3286C" w:rsidP="00F3286C">
      <w:pPr>
        <w:spacing w:after="0" w:line="240" w:lineRule="auto"/>
        <w:rPr>
          <w:rFonts w:ascii="Century Gothic" w:hAnsi="Century Gothic"/>
          <w:u w:val="single"/>
        </w:rPr>
      </w:pPr>
    </w:p>
    <w:tbl>
      <w:tblPr>
        <w:tblStyle w:val="TableGrid"/>
        <w:tblW w:w="9493" w:type="dxa"/>
        <w:tblLook w:val="04A0" w:firstRow="1" w:lastRow="0" w:firstColumn="1" w:lastColumn="0" w:noHBand="0" w:noVBand="1"/>
      </w:tblPr>
      <w:tblGrid>
        <w:gridCol w:w="1762"/>
        <w:gridCol w:w="3621"/>
        <w:gridCol w:w="4110"/>
      </w:tblGrid>
      <w:tr w:rsidR="00811C70" w14:paraId="79CD68F3" w14:textId="77777777" w:rsidTr="00F63ECC">
        <w:tc>
          <w:tcPr>
            <w:tcW w:w="1502" w:type="dxa"/>
          </w:tcPr>
          <w:p w14:paraId="16297216" w14:textId="5B0B1797" w:rsidR="00811C70" w:rsidRPr="007B7D70" w:rsidRDefault="00811C70" w:rsidP="00F3286C">
            <w:pPr>
              <w:rPr>
                <w:rFonts w:ascii="Century Gothic" w:hAnsi="Century Gothic"/>
              </w:rPr>
            </w:pPr>
            <w:r w:rsidRPr="007B7D70">
              <w:rPr>
                <w:rFonts w:ascii="Century Gothic" w:hAnsi="Century Gothic"/>
              </w:rPr>
              <w:t>Protected characteristics</w:t>
            </w:r>
          </w:p>
        </w:tc>
        <w:tc>
          <w:tcPr>
            <w:tcW w:w="3749" w:type="dxa"/>
          </w:tcPr>
          <w:p w14:paraId="4F0A748F" w14:textId="1284EE93" w:rsidR="00811C70" w:rsidRPr="007B7D70" w:rsidRDefault="00811C70" w:rsidP="00F3286C">
            <w:pPr>
              <w:rPr>
                <w:rFonts w:ascii="Century Gothic" w:hAnsi="Century Gothic"/>
              </w:rPr>
            </w:pPr>
            <w:r w:rsidRPr="007B7D70">
              <w:rPr>
                <w:rFonts w:ascii="Century Gothic" w:hAnsi="Century Gothic"/>
              </w:rPr>
              <w:t>What this refers to</w:t>
            </w:r>
          </w:p>
        </w:tc>
        <w:tc>
          <w:tcPr>
            <w:tcW w:w="4242" w:type="dxa"/>
          </w:tcPr>
          <w:p w14:paraId="5F265F20" w14:textId="4898CB92" w:rsidR="00811C70" w:rsidRPr="007B7D70" w:rsidRDefault="00811C70" w:rsidP="00F3286C">
            <w:pPr>
              <w:rPr>
                <w:rFonts w:ascii="Century Gothic" w:hAnsi="Century Gothic"/>
              </w:rPr>
            </w:pPr>
            <w:r w:rsidRPr="007B7D70">
              <w:rPr>
                <w:rFonts w:ascii="Century Gothic" w:hAnsi="Century Gothic"/>
              </w:rPr>
              <w:t>Links to Jigsaw</w:t>
            </w:r>
          </w:p>
        </w:tc>
      </w:tr>
      <w:tr w:rsidR="00811C70" w14:paraId="384D8340" w14:textId="77777777" w:rsidTr="00F63ECC">
        <w:tc>
          <w:tcPr>
            <w:tcW w:w="1502" w:type="dxa"/>
          </w:tcPr>
          <w:p w14:paraId="58403447" w14:textId="09B125C5" w:rsidR="00811C70" w:rsidRPr="007B7D70" w:rsidRDefault="00811C70" w:rsidP="00F3286C">
            <w:pPr>
              <w:rPr>
                <w:rFonts w:ascii="Century Gothic" w:hAnsi="Century Gothic"/>
              </w:rPr>
            </w:pPr>
            <w:r w:rsidRPr="007B7D70">
              <w:rPr>
                <w:rFonts w:ascii="Century Gothic" w:hAnsi="Century Gothic"/>
              </w:rPr>
              <w:t>Gender reassignment</w:t>
            </w:r>
          </w:p>
        </w:tc>
        <w:tc>
          <w:tcPr>
            <w:tcW w:w="3749" w:type="dxa"/>
          </w:tcPr>
          <w:p w14:paraId="32226754" w14:textId="610FEA29" w:rsidR="00811C70" w:rsidRPr="007B7D70" w:rsidRDefault="00811C70" w:rsidP="00F3286C">
            <w:pPr>
              <w:rPr>
                <w:rFonts w:ascii="Century Gothic" w:hAnsi="Century Gothic"/>
              </w:rPr>
            </w:pPr>
            <w:r w:rsidRPr="007B7D70">
              <w:rPr>
                <w:rFonts w:ascii="Century Gothic" w:hAnsi="Century Gothic"/>
              </w:rPr>
              <w:t>The process of transitioning from one gender to another</w:t>
            </w:r>
          </w:p>
        </w:tc>
        <w:tc>
          <w:tcPr>
            <w:tcW w:w="4242" w:type="dxa"/>
          </w:tcPr>
          <w:p w14:paraId="61334956" w14:textId="77777777" w:rsidR="00811C70" w:rsidRPr="007B7D70" w:rsidRDefault="00811C70" w:rsidP="00F3286C">
            <w:pPr>
              <w:rPr>
                <w:rFonts w:ascii="Century Gothic" w:hAnsi="Century Gothic"/>
              </w:rPr>
            </w:pPr>
            <w:r w:rsidRPr="007B7D70">
              <w:rPr>
                <w:rFonts w:ascii="Century Gothic" w:hAnsi="Century Gothic"/>
              </w:rPr>
              <w:t>Celebrating Difference</w:t>
            </w:r>
          </w:p>
          <w:p w14:paraId="147D8DC5" w14:textId="2F16A5DA" w:rsidR="00811C70" w:rsidRPr="007B7D70" w:rsidRDefault="00811C70" w:rsidP="00F3286C">
            <w:pPr>
              <w:rPr>
                <w:rFonts w:ascii="Century Gothic" w:hAnsi="Century Gothic"/>
              </w:rPr>
            </w:pPr>
            <w:r w:rsidRPr="007B7D70">
              <w:rPr>
                <w:rFonts w:ascii="Century Gothic" w:hAnsi="Century Gothic"/>
              </w:rPr>
              <w:t xml:space="preserve">Year 1 – </w:t>
            </w:r>
            <w:r w:rsidR="00F63ECC" w:rsidRPr="007B7D70">
              <w:rPr>
                <w:rFonts w:ascii="Century Gothic" w:hAnsi="Century Gothic"/>
              </w:rPr>
              <w:t xml:space="preserve">Piece 6: </w:t>
            </w:r>
            <w:r w:rsidRPr="007B7D70">
              <w:rPr>
                <w:rFonts w:ascii="Century Gothic" w:hAnsi="Century Gothic"/>
              </w:rPr>
              <w:t>Celebrating me</w:t>
            </w:r>
          </w:p>
          <w:p w14:paraId="6CE2CBB1" w14:textId="2F32305E" w:rsidR="00811C70" w:rsidRPr="007B7D70" w:rsidRDefault="00811C70" w:rsidP="00F3286C">
            <w:pPr>
              <w:rPr>
                <w:rFonts w:ascii="Century Gothic" w:hAnsi="Century Gothic"/>
                <w:b/>
                <w:bCs/>
              </w:rPr>
            </w:pPr>
            <w:r w:rsidRPr="007B7D70">
              <w:rPr>
                <w:rFonts w:ascii="Century Gothic" w:hAnsi="Century Gothic"/>
                <w:b/>
                <w:bCs/>
              </w:rPr>
              <w:t xml:space="preserve">In Jigsaw, the focus is on accepting all people as unique individuals, not on transitioning itself. </w:t>
            </w:r>
          </w:p>
        </w:tc>
      </w:tr>
      <w:tr w:rsidR="00811C70" w14:paraId="0B5D1698" w14:textId="77777777" w:rsidTr="00F63ECC">
        <w:tc>
          <w:tcPr>
            <w:tcW w:w="1502" w:type="dxa"/>
          </w:tcPr>
          <w:p w14:paraId="10B101E0" w14:textId="37140128" w:rsidR="00811C70" w:rsidRPr="007B7D70" w:rsidRDefault="00811C70" w:rsidP="00F3286C">
            <w:pPr>
              <w:rPr>
                <w:rFonts w:ascii="Century Gothic" w:hAnsi="Century Gothic"/>
              </w:rPr>
            </w:pPr>
            <w:r w:rsidRPr="007B7D70">
              <w:rPr>
                <w:rFonts w:ascii="Century Gothic" w:hAnsi="Century Gothic"/>
              </w:rPr>
              <w:t>Being pregnant or on maternity leave</w:t>
            </w:r>
          </w:p>
        </w:tc>
        <w:tc>
          <w:tcPr>
            <w:tcW w:w="3749" w:type="dxa"/>
          </w:tcPr>
          <w:p w14:paraId="71A196C2" w14:textId="06C675E0" w:rsidR="00811C70" w:rsidRPr="007B7D70" w:rsidRDefault="00811C70" w:rsidP="00F3286C">
            <w:pPr>
              <w:rPr>
                <w:rFonts w:ascii="Century Gothic" w:hAnsi="Century Gothic"/>
              </w:rPr>
            </w:pPr>
            <w:r w:rsidRPr="007B7D70">
              <w:rPr>
                <w:rFonts w:ascii="Century Gothic" w:hAnsi="Century Gothic"/>
              </w:rPr>
              <w:t xml:space="preserve">Pregnancy is the condition of being pregnant or expecting a baby. Maternity refers to the period after </w:t>
            </w:r>
            <w:proofErr w:type="gramStart"/>
            <w:r w:rsidRPr="007B7D70">
              <w:rPr>
                <w:rFonts w:ascii="Century Gothic" w:hAnsi="Century Gothic"/>
              </w:rPr>
              <w:t>birth, and</w:t>
            </w:r>
            <w:proofErr w:type="gramEnd"/>
            <w:r w:rsidRPr="007B7D70">
              <w:rPr>
                <w:rFonts w:ascii="Century Gothic" w:hAnsi="Century Gothic"/>
              </w:rPr>
              <w:t xml:space="preserve"> is linked to maternity leave in the employment context. In the non-work context, protection against maternity discrimination is for 26 weeks after giving birth, and this includes </w:t>
            </w:r>
            <w:r w:rsidR="00F63ECC" w:rsidRPr="007B7D70">
              <w:rPr>
                <w:rFonts w:ascii="Century Gothic" w:hAnsi="Century Gothic"/>
              </w:rPr>
              <w:t xml:space="preserve">treating a woman unfavourably because she is breastfeeding. </w:t>
            </w:r>
          </w:p>
        </w:tc>
        <w:tc>
          <w:tcPr>
            <w:tcW w:w="4242" w:type="dxa"/>
          </w:tcPr>
          <w:p w14:paraId="421023E2" w14:textId="77777777" w:rsidR="00811C70" w:rsidRPr="007B7D70" w:rsidRDefault="00F63ECC" w:rsidP="00F3286C">
            <w:pPr>
              <w:rPr>
                <w:rFonts w:ascii="Century Gothic" w:hAnsi="Century Gothic"/>
              </w:rPr>
            </w:pPr>
            <w:r w:rsidRPr="007B7D70">
              <w:rPr>
                <w:rFonts w:ascii="Century Gothic" w:hAnsi="Century Gothic"/>
              </w:rPr>
              <w:t>Celebrating Difference</w:t>
            </w:r>
          </w:p>
          <w:p w14:paraId="5F218D01" w14:textId="4B08E3C4" w:rsidR="00F63ECC" w:rsidRPr="007B7D70" w:rsidRDefault="00F63ECC" w:rsidP="00F3286C">
            <w:pPr>
              <w:rPr>
                <w:rFonts w:ascii="Century Gothic" w:hAnsi="Century Gothic"/>
              </w:rPr>
            </w:pPr>
            <w:r w:rsidRPr="007B7D70">
              <w:rPr>
                <w:rFonts w:ascii="Century Gothic" w:hAnsi="Century Gothic"/>
              </w:rPr>
              <w:t>Nursery/Reception – Piece 3: Families</w:t>
            </w:r>
          </w:p>
        </w:tc>
      </w:tr>
      <w:tr w:rsidR="00811C70" w14:paraId="508024C1" w14:textId="77777777" w:rsidTr="00F63ECC">
        <w:tc>
          <w:tcPr>
            <w:tcW w:w="1502" w:type="dxa"/>
          </w:tcPr>
          <w:p w14:paraId="0D3878D9" w14:textId="65F2E77A" w:rsidR="00811C70" w:rsidRPr="007B7D70" w:rsidRDefault="00F63ECC" w:rsidP="00F3286C">
            <w:pPr>
              <w:rPr>
                <w:rFonts w:ascii="Century Gothic" w:hAnsi="Century Gothic"/>
              </w:rPr>
            </w:pPr>
            <w:r w:rsidRPr="007B7D70">
              <w:rPr>
                <w:rFonts w:ascii="Century Gothic" w:hAnsi="Century Gothic"/>
              </w:rPr>
              <w:t>Sex</w:t>
            </w:r>
          </w:p>
        </w:tc>
        <w:tc>
          <w:tcPr>
            <w:tcW w:w="3749" w:type="dxa"/>
          </w:tcPr>
          <w:p w14:paraId="4A80D614" w14:textId="1452BF53" w:rsidR="00811C70" w:rsidRPr="007B7D70" w:rsidRDefault="00F63ECC" w:rsidP="00F3286C">
            <w:pPr>
              <w:rPr>
                <w:rFonts w:ascii="Century Gothic" w:hAnsi="Century Gothic"/>
              </w:rPr>
            </w:pPr>
            <w:r w:rsidRPr="007B7D70">
              <w:rPr>
                <w:rFonts w:ascii="Century Gothic" w:hAnsi="Century Gothic"/>
              </w:rPr>
              <w:t>A man or a woman</w:t>
            </w:r>
          </w:p>
        </w:tc>
        <w:tc>
          <w:tcPr>
            <w:tcW w:w="4242" w:type="dxa"/>
          </w:tcPr>
          <w:p w14:paraId="252FCA8C" w14:textId="77777777" w:rsidR="00811C70" w:rsidRPr="007B7D70" w:rsidRDefault="00F63ECC" w:rsidP="00F3286C">
            <w:pPr>
              <w:rPr>
                <w:rFonts w:ascii="Century Gothic" w:hAnsi="Century Gothic"/>
              </w:rPr>
            </w:pPr>
            <w:r w:rsidRPr="007B7D70">
              <w:rPr>
                <w:rFonts w:ascii="Century Gothic" w:hAnsi="Century Gothic"/>
              </w:rPr>
              <w:t>Celebrating Difference</w:t>
            </w:r>
          </w:p>
          <w:p w14:paraId="4BA18E6A" w14:textId="5BA7AF9C" w:rsidR="00F63ECC" w:rsidRPr="007B7D70" w:rsidRDefault="00F63ECC" w:rsidP="00F3286C">
            <w:pPr>
              <w:rPr>
                <w:rFonts w:ascii="Century Gothic" w:hAnsi="Century Gothic"/>
              </w:rPr>
            </w:pPr>
            <w:r w:rsidRPr="007B7D70">
              <w:rPr>
                <w:rFonts w:ascii="Century Gothic" w:hAnsi="Century Gothic"/>
              </w:rPr>
              <w:t>Year 2 – Pieces 1&amp;2: Boys and Girls</w:t>
            </w:r>
          </w:p>
        </w:tc>
      </w:tr>
    </w:tbl>
    <w:p w14:paraId="06A7CCD4" w14:textId="77777777" w:rsidR="00811C70" w:rsidRDefault="00811C70" w:rsidP="00F3286C">
      <w:pPr>
        <w:spacing w:after="0" w:line="240" w:lineRule="auto"/>
        <w:rPr>
          <w:rFonts w:ascii="Century Gothic" w:hAnsi="Century Gothic"/>
          <w:u w:val="single"/>
        </w:rPr>
      </w:pPr>
    </w:p>
    <w:p w14:paraId="7ED9432B" w14:textId="3ABE9A96" w:rsidR="009B525B" w:rsidRDefault="00F63ECC" w:rsidP="00BD4C7F">
      <w:pPr>
        <w:spacing w:after="0" w:line="276" w:lineRule="auto"/>
        <w:rPr>
          <w:rFonts w:ascii="Century Gothic" w:hAnsi="Century Gothic"/>
        </w:rPr>
      </w:pPr>
      <w:r>
        <w:rPr>
          <w:rFonts w:ascii="Century Gothic" w:hAnsi="Century Gothic"/>
        </w:rPr>
        <w:t xml:space="preserve">This grid is the explicit teaching only. It is not exhaustive as there are numerous other lessons that teach about equality. </w:t>
      </w:r>
    </w:p>
    <w:p w14:paraId="64D9D266" w14:textId="77777777" w:rsidR="00F3286C" w:rsidRDefault="00F3286C" w:rsidP="00BD4C7F">
      <w:pPr>
        <w:spacing w:after="0" w:line="276" w:lineRule="auto"/>
        <w:rPr>
          <w:rFonts w:ascii="Century Gothic" w:hAnsi="Century Gothic"/>
          <w:u w:val="single"/>
        </w:rPr>
      </w:pPr>
    </w:p>
    <w:p w14:paraId="50636944" w14:textId="77777777" w:rsidR="00F3286C" w:rsidRDefault="00F3286C" w:rsidP="00BD4C7F">
      <w:pPr>
        <w:spacing w:after="0" w:line="276" w:lineRule="auto"/>
        <w:rPr>
          <w:rFonts w:ascii="Century Gothic" w:hAnsi="Century Gothic"/>
          <w:u w:val="single"/>
        </w:rPr>
      </w:pPr>
    </w:p>
    <w:p w14:paraId="37D695F0" w14:textId="77777777" w:rsidR="00F3286C" w:rsidRDefault="00F3286C" w:rsidP="00BD4C7F">
      <w:pPr>
        <w:spacing w:after="0" w:line="276" w:lineRule="auto"/>
        <w:rPr>
          <w:rFonts w:ascii="Century Gothic" w:hAnsi="Century Gothic"/>
          <w:u w:val="single"/>
        </w:rPr>
      </w:pPr>
    </w:p>
    <w:p w14:paraId="71F105DC" w14:textId="52B563CA" w:rsidR="009B525B" w:rsidRPr="009B525B" w:rsidRDefault="009B525B" w:rsidP="00BD4C7F">
      <w:pPr>
        <w:spacing w:after="0" w:line="276" w:lineRule="auto"/>
        <w:rPr>
          <w:rFonts w:ascii="Century Gothic" w:hAnsi="Century Gothic"/>
          <w:u w:val="single"/>
        </w:rPr>
      </w:pPr>
      <w:r>
        <w:rPr>
          <w:rFonts w:ascii="Century Gothic" w:hAnsi="Century Gothic"/>
          <w:u w:val="single"/>
        </w:rPr>
        <w:t>Relationships and Sex Education</w:t>
      </w:r>
    </w:p>
    <w:p w14:paraId="4D8B845F" w14:textId="77777777" w:rsidR="00F3286C" w:rsidRDefault="00F3286C" w:rsidP="00BD4C7F">
      <w:pPr>
        <w:shd w:val="clear" w:color="auto" w:fill="FFFFFF"/>
        <w:spacing w:after="0" w:line="276" w:lineRule="auto"/>
        <w:textAlignment w:val="top"/>
        <w:rPr>
          <w:rFonts w:ascii="Century Gothic" w:eastAsia="Times New Roman" w:hAnsi="Century Gothic" w:cs="Arial"/>
          <w:color w:val="000000"/>
          <w:kern w:val="0"/>
          <w:lang w:eastAsia="en-GB"/>
          <w14:ligatures w14:val="none"/>
        </w:rPr>
      </w:pPr>
    </w:p>
    <w:p w14:paraId="6FF2CCB8" w14:textId="097E8262" w:rsidR="009B525B" w:rsidRPr="00B56C20" w:rsidRDefault="009B525B" w:rsidP="00BD4C7F">
      <w:pPr>
        <w:shd w:val="clear" w:color="auto" w:fill="FFFFFF"/>
        <w:spacing w:after="0" w:line="276" w:lineRule="auto"/>
        <w:textAlignment w:val="top"/>
        <w:rPr>
          <w:rFonts w:ascii="Century Gothic" w:eastAsia="Times New Roman" w:hAnsi="Century Gothic" w:cs="Arial"/>
          <w:color w:val="000000"/>
          <w:kern w:val="0"/>
          <w:lang w:eastAsia="en-GB"/>
          <w14:ligatures w14:val="none"/>
        </w:rPr>
      </w:pPr>
      <w:r w:rsidRPr="00B56C20">
        <w:rPr>
          <w:rFonts w:ascii="Century Gothic" w:eastAsia="Times New Roman" w:hAnsi="Century Gothic" w:cs="Arial"/>
          <w:color w:val="000000"/>
          <w:kern w:val="0"/>
          <w:lang w:eastAsia="en-GB"/>
          <w14:ligatures w14:val="none"/>
        </w:rPr>
        <w:t>An important part of the J</w:t>
      </w:r>
      <w:r w:rsidR="00F3286C">
        <w:rPr>
          <w:rFonts w:ascii="Century Gothic" w:eastAsia="Times New Roman" w:hAnsi="Century Gothic" w:cs="Arial"/>
          <w:color w:val="000000"/>
          <w:kern w:val="0"/>
          <w:lang w:eastAsia="en-GB"/>
          <w14:ligatures w14:val="none"/>
        </w:rPr>
        <w:t>igsaw</w:t>
      </w:r>
      <w:r w:rsidRPr="00B56C20">
        <w:rPr>
          <w:rFonts w:ascii="Century Gothic" w:eastAsia="Times New Roman" w:hAnsi="Century Gothic" w:cs="Arial"/>
          <w:color w:val="000000"/>
          <w:kern w:val="0"/>
          <w:lang w:eastAsia="en-GB"/>
          <w14:ligatures w14:val="none"/>
        </w:rPr>
        <w:t xml:space="preserve"> PSHE programme is delivered through the 'Relationships' and 'Changing Me' puzzle pieces which are covered in the summer term. </w:t>
      </w:r>
    </w:p>
    <w:p w14:paraId="50A491AC" w14:textId="77777777" w:rsidR="009B525B" w:rsidRPr="009B525B" w:rsidRDefault="009B525B" w:rsidP="00BD4C7F">
      <w:pPr>
        <w:shd w:val="clear" w:color="auto" w:fill="FFFFFF"/>
        <w:spacing w:after="0" w:line="276" w:lineRule="auto"/>
        <w:textAlignment w:val="top"/>
        <w:rPr>
          <w:rFonts w:ascii="Arial" w:eastAsia="Times New Roman" w:hAnsi="Arial" w:cs="Arial"/>
          <w:color w:val="000000"/>
          <w:kern w:val="0"/>
          <w:sz w:val="23"/>
          <w:szCs w:val="23"/>
          <w:lang w:eastAsia="en-GB"/>
          <w14:ligatures w14:val="none"/>
        </w:rPr>
      </w:pPr>
      <w:r w:rsidRPr="009B525B">
        <w:rPr>
          <w:rFonts w:ascii="Arial" w:eastAsia="Times New Roman" w:hAnsi="Arial" w:cs="Arial"/>
          <w:color w:val="000000"/>
          <w:kern w:val="0"/>
          <w:sz w:val="23"/>
          <w:szCs w:val="23"/>
          <w:lang w:eastAsia="en-GB"/>
          <w14:ligatures w14:val="none"/>
        </w:rPr>
        <w:t>​</w:t>
      </w:r>
    </w:p>
    <w:p w14:paraId="547563CD" w14:textId="77777777" w:rsidR="009B525B" w:rsidRPr="009B525B" w:rsidRDefault="009B525B" w:rsidP="00BD4C7F">
      <w:pPr>
        <w:shd w:val="clear" w:color="auto" w:fill="FFFFFF"/>
        <w:spacing w:after="0" w:line="276" w:lineRule="auto"/>
        <w:textAlignment w:val="top"/>
        <w:rPr>
          <w:rFonts w:ascii="Century Gothic" w:eastAsia="Times New Roman" w:hAnsi="Century Gothic" w:cs="Arial"/>
          <w:color w:val="000000"/>
          <w:kern w:val="0"/>
          <w:lang w:eastAsia="en-GB"/>
          <w14:ligatures w14:val="none"/>
        </w:rPr>
      </w:pPr>
      <w:r w:rsidRPr="009B525B">
        <w:rPr>
          <w:rFonts w:ascii="Century Gothic" w:eastAsia="Times New Roman" w:hAnsi="Century Gothic" w:cs="Arial"/>
          <w:color w:val="000000"/>
          <w:kern w:val="0"/>
          <w:bdr w:val="none" w:sz="0" w:space="0" w:color="auto" w:frame="1"/>
          <w:lang w:eastAsia="en-GB"/>
          <w14:ligatures w14:val="none"/>
        </w:rPr>
        <w:t>There are four main aims of teaching RSE:</w:t>
      </w:r>
    </w:p>
    <w:p w14:paraId="36829407" w14:textId="77777777" w:rsidR="009B525B" w:rsidRPr="009B525B" w:rsidRDefault="009B525B" w:rsidP="00BD4C7F">
      <w:pPr>
        <w:numPr>
          <w:ilvl w:val="0"/>
          <w:numId w:val="2"/>
        </w:numPr>
        <w:spacing w:after="0" w:line="276" w:lineRule="auto"/>
        <w:textAlignment w:val="top"/>
        <w:rPr>
          <w:rFonts w:ascii="Century Gothic" w:eastAsia="Times New Roman" w:hAnsi="Century Gothic" w:cs="Arial"/>
          <w:color w:val="000000"/>
          <w:kern w:val="0"/>
          <w:lang w:eastAsia="en-GB"/>
          <w14:ligatures w14:val="none"/>
        </w:rPr>
      </w:pPr>
      <w:r w:rsidRPr="009B525B">
        <w:rPr>
          <w:rFonts w:ascii="Century Gothic" w:eastAsia="Times New Roman" w:hAnsi="Century Gothic" w:cs="Arial"/>
          <w:color w:val="000000"/>
          <w:kern w:val="0"/>
          <w:lang w:eastAsia="en-GB"/>
          <w14:ligatures w14:val="none"/>
        </w:rPr>
        <w:t>To enable children to understand and respect their bodies</w:t>
      </w:r>
    </w:p>
    <w:p w14:paraId="4A75A13E" w14:textId="77777777" w:rsidR="009B525B" w:rsidRPr="009B525B" w:rsidRDefault="009B525B" w:rsidP="00BD4C7F">
      <w:pPr>
        <w:numPr>
          <w:ilvl w:val="0"/>
          <w:numId w:val="2"/>
        </w:numPr>
        <w:spacing w:after="0" w:line="276" w:lineRule="auto"/>
        <w:textAlignment w:val="top"/>
        <w:rPr>
          <w:rFonts w:ascii="Century Gothic" w:eastAsia="Times New Roman" w:hAnsi="Century Gothic" w:cs="Arial"/>
          <w:color w:val="000000"/>
          <w:kern w:val="0"/>
          <w:lang w:eastAsia="en-GB"/>
          <w14:ligatures w14:val="none"/>
        </w:rPr>
      </w:pPr>
      <w:r w:rsidRPr="009B525B">
        <w:rPr>
          <w:rFonts w:ascii="Century Gothic" w:eastAsia="Times New Roman" w:hAnsi="Century Gothic" w:cs="Arial"/>
          <w:color w:val="000000"/>
          <w:kern w:val="0"/>
          <w:lang w:eastAsia="en-GB"/>
          <w14:ligatures w14:val="none"/>
        </w:rPr>
        <w:t>To help children develop positive and healthy relationships appropriate to their age and development</w:t>
      </w:r>
    </w:p>
    <w:p w14:paraId="1DB7930E" w14:textId="77777777" w:rsidR="009B525B" w:rsidRPr="009B525B" w:rsidRDefault="009B525B" w:rsidP="00BD4C7F">
      <w:pPr>
        <w:numPr>
          <w:ilvl w:val="0"/>
          <w:numId w:val="2"/>
        </w:numPr>
        <w:spacing w:after="0" w:line="276" w:lineRule="auto"/>
        <w:textAlignment w:val="top"/>
        <w:rPr>
          <w:rFonts w:ascii="Century Gothic" w:eastAsia="Times New Roman" w:hAnsi="Century Gothic" w:cs="Arial"/>
          <w:color w:val="000000"/>
          <w:kern w:val="0"/>
          <w:lang w:eastAsia="en-GB"/>
          <w14:ligatures w14:val="none"/>
        </w:rPr>
      </w:pPr>
      <w:r w:rsidRPr="009B525B">
        <w:rPr>
          <w:rFonts w:ascii="Century Gothic" w:eastAsia="Times New Roman" w:hAnsi="Century Gothic" w:cs="Arial"/>
          <w:color w:val="000000"/>
          <w:kern w:val="0"/>
          <w:lang w:eastAsia="en-GB"/>
          <w14:ligatures w14:val="none"/>
        </w:rPr>
        <w:t>To support children to have positive self-esteem and body image</w:t>
      </w:r>
    </w:p>
    <w:p w14:paraId="26913729" w14:textId="77777777" w:rsidR="009B525B" w:rsidRPr="009B525B" w:rsidRDefault="009B525B" w:rsidP="00BD4C7F">
      <w:pPr>
        <w:numPr>
          <w:ilvl w:val="0"/>
          <w:numId w:val="2"/>
        </w:numPr>
        <w:spacing w:after="0" w:line="276" w:lineRule="auto"/>
        <w:textAlignment w:val="top"/>
        <w:rPr>
          <w:rFonts w:ascii="Century Gothic" w:eastAsia="Times New Roman" w:hAnsi="Century Gothic" w:cs="Arial"/>
          <w:color w:val="000000"/>
          <w:kern w:val="0"/>
          <w:lang w:eastAsia="en-GB"/>
          <w14:ligatures w14:val="none"/>
        </w:rPr>
      </w:pPr>
      <w:r w:rsidRPr="009B525B">
        <w:rPr>
          <w:rFonts w:ascii="Century Gothic" w:eastAsia="Times New Roman" w:hAnsi="Century Gothic" w:cs="Arial"/>
          <w:color w:val="000000"/>
          <w:kern w:val="0"/>
          <w:lang w:eastAsia="en-GB"/>
          <w14:ligatures w14:val="none"/>
        </w:rPr>
        <w:t>To empower them to be safe and safeguarded.</w:t>
      </w:r>
    </w:p>
    <w:p w14:paraId="2BFDE6C7" w14:textId="77777777" w:rsidR="009B525B" w:rsidRPr="009B525B" w:rsidRDefault="009B525B" w:rsidP="00BD4C7F">
      <w:pPr>
        <w:shd w:val="clear" w:color="auto" w:fill="FFFFFF"/>
        <w:spacing w:after="0" w:line="276" w:lineRule="auto"/>
        <w:textAlignment w:val="top"/>
        <w:rPr>
          <w:rFonts w:ascii="Century Gothic" w:eastAsia="Times New Roman" w:hAnsi="Century Gothic" w:cs="Arial"/>
          <w:color w:val="000000"/>
          <w:kern w:val="0"/>
          <w:lang w:eastAsia="en-GB"/>
          <w14:ligatures w14:val="none"/>
        </w:rPr>
      </w:pPr>
      <w:r w:rsidRPr="009B525B">
        <w:rPr>
          <w:rFonts w:ascii="Arial" w:eastAsia="Times New Roman" w:hAnsi="Arial" w:cs="Arial"/>
          <w:color w:val="000000"/>
          <w:kern w:val="0"/>
          <w:lang w:eastAsia="en-GB"/>
          <w14:ligatures w14:val="none"/>
        </w:rPr>
        <w:t>​</w:t>
      </w:r>
    </w:p>
    <w:p w14:paraId="468B33B0" w14:textId="19EB9CC8" w:rsidR="009B525B" w:rsidRPr="009B525B" w:rsidRDefault="009B525B" w:rsidP="00BD4C7F">
      <w:pPr>
        <w:shd w:val="clear" w:color="auto" w:fill="FFFFFF"/>
        <w:spacing w:after="0" w:line="276" w:lineRule="auto"/>
        <w:textAlignment w:val="top"/>
        <w:rPr>
          <w:rFonts w:ascii="Century Gothic" w:eastAsia="Times New Roman" w:hAnsi="Century Gothic" w:cs="Arial"/>
          <w:color w:val="000000"/>
          <w:kern w:val="0"/>
          <w:lang w:eastAsia="en-GB"/>
          <w14:ligatures w14:val="none"/>
        </w:rPr>
      </w:pPr>
      <w:r w:rsidRPr="009B525B">
        <w:rPr>
          <w:rFonts w:ascii="Century Gothic" w:eastAsia="Times New Roman" w:hAnsi="Century Gothic" w:cs="Arial"/>
          <w:color w:val="000000"/>
          <w:kern w:val="0"/>
          <w:lang w:eastAsia="en-GB"/>
          <w14:ligatures w14:val="none"/>
        </w:rPr>
        <w:t xml:space="preserve">Each year group will be taught appropriate to their age and developmental stage. At no point will a child be taught something that is inappropriate; and if a question from a child arises and the teacher feels it would be inappropriate to answer, (for example, because of its mature or explicit nature), this information with be shared with </w:t>
      </w:r>
      <w:r w:rsidR="007B7D70">
        <w:rPr>
          <w:rFonts w:ascii="Century Gothic" w:eastAsia="Times New Roman" w:hAnsi="Century Gothic" w:cs="Arial"/>
          <w:color w:val="000000"/>
          <w:kern w:val="0"/>
          <w:lang w:eastAsia="en-GB"/>
          <w14:ligatures w14:val="none"/>
        </w:rPr>
        <w:t>parents</w:t>
      </w:r>
      <w:r w:rsidRPr="009B525B">
        <w:rPr>
          <w:rFonts w:ascii="Century Gothic" w:eastAsia="Times New Roman" w:hAnsi="Century Gothic" w:cs="Arial"/>
          <w:color w:val="000000"/>
          <w:kern w:val="0"/>
          <w:lang w:eastAsia="en-GB"/>
          <w14:ligatures w14:val="none"/>
        </w:rPr>
        <w:t xml:space="preserve"> by </w:t>
      </w:r>
      <w:r w:rsidR="007B7D70">
        <w:rPr>
          <w:rFonts w:ascii="Century Gothic" w:eastAsia="Times New Roman" w:hAnsi="Century Gothic" w:cs="Arial"/>
          <w:color w:val="000000"/>
          <w:kern w:val="0"/>
          <w:lang w:eastAsia="en-GB"/>
          <w14:ligatures w14:val="none"/>
        </w:rPr>
        <w:t>the</w:t>
      </w:r>
      <w:r w:rsidRPr="009B525B">
        <w:rPr>
          <w:rFonts w:ascii="Century Gothic" w:eastAsia="Times New Roman" w:hAnsi="Century Gothic" w:cs="Arial"/>
          <w:color w:val="000000"/>
          <w:kern w:val="0"/>
          <w:lang w:eastAsia="en-GB"/>
          <w14:ligatures w14:val="none"/>
        </w:rPr>
        <w:t xml:space="preserve"> class teacher. The question will not be answered to the child or class if it is outside the remit of that year group’s programme.</w:t>
      </w:r>
    </w:p>
    <w:p w14:paraId="654AC725" w14:textId="77777777" w:rsidR="009B525B" w:rsidRPr="009B525B" w:rsidRDefault="009B525B" w:rsidP="00BD4C7F">
      <w:pPr>
        <w:shd w:val="clear" w:color="auto" w:fill="FFFFFF"/>
        <w:spacing w:after="0" w:line="276" w:lineRule="auto"/>
        <w:textAlignment w:val="top"/>
        <w:rPr>
          <w:rFonts w:ascii="Century Gothic" w:eastAsia="Times New Roman" w:hAnsi="Century Gothic" w:cs="Arial"/>
          <w:color w:val="000000"/>
          <w:kern w:val="0"/>
          <w:lang w:eastAsia="en-GB"/>
          <w14:ligatures w14:val="none"/>
        </w:rPr>
      </w:pPr>
      <w:r w:rsidRPr="009B525B">
        <w:rPr>
          <w:rFonts w:ascii="Arial" w:eastAsia="Times New Roman" w:hAnsi="Arial" w:cs="Arial"/>
          <w:color w:val="000000"/>
          <w:kern w:val="0"/>
          <w:bdr w:val="none" w:sz="0" w:space="0" w:color="auto" w:frame="1"/>
          <w:lang w:eastAsia="en-GB"/>
          <w14:ligatures w14:val="none"/>
        </w:rPr>
        <w:lastRenderedPageBreak/>
        <w:t>​</w:t>
      </w:r>
    </w:p>
    <w:p w14:paraId="00C6B8FA" w14:textId="75187302" w:rsidR="009B525B" w:rsidRPr="009B525B" w:rsidRDefault="009B525B" w:rsidP="00BD4C7F">
      <w:pPr>
        <w:shd w:val="clear" w:color="auto" w:fill="FFFFFF"/>
        <w:spacing w:after="0" w:line="276" w:lineRule="auto"/>
        <w:textAlignment w:val="top"/>
        <w:rPr>
          <w:rFonts w:ascii="Century Gothic" w:eastAsia="Times New Roman" w:hAnsi="Century Gothic" w:cs="Arial"/>
          <w:color w:val="000000"/>
          <w:kern w:val="0"/>
          <w:lang w:eastAsia="en-GB"/>
          <w14:ligatures w14:val="none"/>
        </w:rPr>
      </w:pPr>
      <w:r w:rsidRPr="009B525B">
        <w:rPr>
          <w:rFonts w:ascii="Century Gothic" w:eastAsia="Times New Roman" w:hAnsi="Century Gothic" w:cs="Arial"/>
          <w:color w:val="000000"/>
          <w:kern w:val="0"/>
          <w:bdr w:val="none" w:sz="0" w:space="0" w:color="auto" w:frame="1"/>
          <w:lang w:eastAsia="en-GB"/>
          <w14:ligatures w14:val="none"/>
        </w:rPr>
        <w:t>Below is a summary of RSE coverage within the J</w:t>
      </w:r>
      <w:r>
        <w:rPr>
          <w:rFonts w:ascii="Century Gothic" w:eastAsia="Times New Roman" w:hAnsi="Century Gothic" w:cs="Arial"/>
          <w:color w:val="000000"/>
          <w:kern w:val="0"/>
          <w:bdr w:val="none" w:sz="0" w:space="0" w:color="auto" w:frame="1"/>
          <w:lang w:eastAsia="en-GB"/>
          <w14:ligatures w14:val="none"/>
        </w:rPr>
        <w:t>igsaw</w:t>
      </w:r>
      <w:r w:rsidRPr="009B525B">
        <w:rPr>
          <w:rFonts w:ascii="Century Gothic" w:eastAsia="Times New Roman" w:hAnsi="Century Gothic" w:cs="Arial"/>
          <w:color w:val="000000"/>
          <w:kern w:val="0"/>
          <w:bdr w:val="none" w:sz="0" w:space="0" w:color="auto" w:frame="1"/>
          <w:lang w:eastAsia="en-GB"/>
          <w14:ligatures w14:val="none"/>
        </w:rPr>
        <w:t xml:space="preserve"> scheme for each year group:</w:t>
      </w:r>
    </w:p>
    <w:p w14:paraId="62B2FCD3" w14:textId="77777777" w:rsidR="009B525B" w:rsidRPr="009B525B" w:rsidRDefault="009B525B" w:rsidP="00BD4C7F">
      <w:pPr>
        <w:numPr>
          <w:ilvl w:val="0"/>
          <w:numId w:val="3"/>
        </w:numPr>
        <w:spacing w:after="0" w:line="276" w:lineRule="auto"/>
        <w:textAlignment w:val="top"/>
        <w:rPr>
          <w:rFonts w:ascii="Century Gothic" w:eastAsia="Times New Roman" w:hAnsi="Century Gothic" w:cs="Arial"/>
          <w:color w:val="000000"/>
          <w:kern w:val="0"/>
          <w:lang w:eastAsia="en-GB"/>
          <w14:ligatures w14:val="none"/>
        </w:rPr>
      </w:pPr>
      <w:r w:rsidRPr="009B525B">
        <w:rPr>
          <w:rFonts w:ascii="Century Gothic" w:eastAsia="Times New Roman" w:hAnsi="Century Gothic" w:cs="Arial"/>
          <w:color w:val="000000"/>
          <w:kern w:val="0"/>
          <w:lang w:eastAsia="en-GB"/>
          <w14:ligatures w14:val="none"/>
        </w:rPr>
        <w:t>Foundation Stage - Growing up: how we have changed since we were babies</w:t>
      </w:r>
    </w:p>
    <w:p w14:paraId="079A18BA" w14:textId="77777777" w:rsidR="009B525B" w:rsidRPr="009B525B" w:rsidRDefault="009B525B" w:rsidP="00BD4C7F">
      <w:pPr>
        <w:numPr>
          <w:ilvl w:val="0"/>
          <w:numId w:val="3"/>
        </w:numPr>
        <w:spacing w:after="0" w:line="276" w:lineRule="auto"/>
        <w:textAlignment w:val="top"/>
        <w:rPr>
          <w:rFonts w:ascii="Century Gothic" w:eastAsia="Times New Roman" w:hAnsi="Century Gothic" w:cs="Arial"/>
          <w:color w:val="000000"/>
          <w:kern w:val="0"/>
          <w:lang w:eastAsia="en-GB"/>
          <w14:ligatures w14:val="none"/>
        </w:rPr>
      </w:pPr>
      <w:r w:rsidRPr="009B525B">
        <w:rPr>
          <w:rFonts w:ascii="Century Gothic" w:eastAsia="Times New Roman" w:hAnsi="Century Gothic" w:cs="Arial"/>
          <w:color w:val="000000"/>
          <w:kern w:val="0"/>
          <w:lang w:eastAsia="en-GB"/>
          <w14:ligatures w14:val="none"/>
        </w:rPr>
        <w:t>Year 1 - Boys’ and girls’ bodies; naming body parts</w:t>
      </w:r>
    </w:p>
    <w:p w14:paraId="3DB34FFE" w14:textId="77777777" w:rsidR="009B525B" w:rsidRPr="009B525B" w:rsidRDefault="009B525B" w:rsidP="00BD4C7F">
      <w:pPr>
        <w:numPr>
          <w:ilvl w:val="0"/>
          <w:numId w:val="3"/>
        </w:numPr>
        <w:spacing w:after="0" w:line="276" w:lineRule="auto"/>
        <w:textAlignment w:val="top"/>
        <w:rPr>
          <w:rFonts w:ascii="Century Gothic" w:eastAsia="Times New Roman" w:hAnsi="Century Gothic" w:cs="Arial"/>
          <w:color w:val="000000"/>
          <w:kern w:val="0"/>
          <w:lang w:eastAsia="en-GB"/>
          <w14:ligatures w14:val="none"/>
        </w:rPr>
      </w:pPr>
      <w:r w:rsidRPr="009B525B">
        <w:rPr>
          <w:rFonts w:ascii="Century Gothic" w:eastAsia="Times New Roman" w:hAnsi="Century Gothic" w:cs="Arial"/>
          <w:color w:val="000000"/>
          <w:kern w:val="0"/>
          <w:lang w:eastAsia="en-GB"/>
          <w14:ligatures w14:val="none"/>
        </w:rPr>
        <w:t>Year 2 - Boys’ and girls’ bodies; body parts and respecting privacy (which parts of the body are private and why this is)</w:t>
      </w:r>
    </w:p>
    <w:p w14:paraId="5101643A" w14:textId="77777777" w:rsidR="00366C19" w:rsidRPr="00366C19" w:rsidRDefault="00366C19" w:rsidP="00BD4C7F">
      <w:pPr>
        <w:spacing w:after="0" w:line="276" w:lineRule="auto"/>
        <w:rPr>
          <w:rFonts w:ascii="Century Gothic" w:hAnsi="Century Gothic"/>
        </w:rPr>
      </w:pPr>
    </w:p>
    <w:sectPr w:rsidR="00366C19" w:rsidRPr="00366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7C0D"/>
    <w:multiLevelType w:val="hybridMultilevel"/>
    <w:tmpl w:val="7FD2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324EB"/>
    <w:multiLevelType w:val="multilevel"/>
    <w:tmpl w:val="29FC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341DE1"/>
    <w:multiLevelType w:val="multilevel"/>
    <w:tmpl w:val="E5A8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4495388">
    <w:abstractNumId w:val="0"/>
  </w:num>
  <w:num w:numId="2" w16cid:durableId="812063174">
    <w:abstractNumId w:val="2"/>
  </w:num>
  <w:num w:numId="3" w16cid:durableId="1807505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C2"/>
    <w:rsid w:val="000312C2"/>
    <w:rsid w:val="00077BA8"/>
    <w:rsid w:val="002119F3"/>
    <w:rsid w:val="00366C19"/>
    <w:rsid w:val="00384B9D"/>
    <w:rsid w:val="0055596C"/>
    <w:rsid w:val="00653F46"/>
    <w:rsid w:val="00752F50"/>
    <w:rsid w:val="007B7D70"/>
    <w:rsid w:val="007D0876"/>
    <w:rsid w:val="00811C70"/>
    <w:rsid w:val="009B525B"/>
    <w:rsid w:val="00B56C20"/>
    <w:rsid w:val="00BD4C7F"/>
    <w:rsid w:val="00CB33B5"/>
    <w:rsid w:val="00CD3622"/>
    <w:rsid w:val="00D40337"/>
    <w:rsid w:val="00F3286C"/>
    <w:rsid w:val="00F63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0A24"/>
  <w15:chartTrackingRefBased/>
  <w15:docId w15:val="{41643358-7D92-4129-BC52-D847F052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B525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9F3"/>
    <w:pPr>
      <w:ind w:left="720"/>
      <w:contextualSpacing/>
    </w:pPr>
  </w:style>
  <w:style w:type="table" w:styleId="TableGrid">
    <w:name w:val="Table Grid"/>
    <w:basedOn w:val="TableNormal"/>
    <w:uiPriority w:val="39"/>
    <w:rsid w:val="00811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525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9B52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B5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FB3937A34F5D4DA468519314CF5392" ma:contentTypeVersion="12" ma:contentTypeDescription="Create a new document." ma:contentTypeScope="" ma:versionID="3df3e90f5ea15451b64f80db2924059f">
  <xsd:schema xmlns:xsd="http://www.w3.org/2001/XMLSchema" xmlns:xs="http://www.w3.org/2001/XMLSchema" xmlns:p="http://schemas.microsoft.com/office/2006/metadata/properties" xmlns:ns2="8975c96a-a3eb-4724-8812-bcfde4c18809" xmlns:ns3="b5737041-93b2-43a0-bcdb-35852ee27dcb" targetNamespace="http://schemas.microsoft.com/office/2006/metadata/properties" ma:root="true" ma:fieldsID="007497ca3de8e784516752010acbd20f" ns2:_="" ns3:_="">
    <xsd:import namespace="8975c96a-a3eb-4724-8812-bcfde4c18809"/>
    <xsd:import namespace="b5737041-93b2-43a0-bcdb-35852ee27d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96a-a3eb-4724-8812-bcfde4c18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136b15-b173-4049-b719-9fa0144d15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37041-93b2-43a0-bcdb-35852ee27dc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ff4827-2160-4a29-863e-8042b9e406df}" ma:internalName="TaxCatchAll" ma:showField="CatchAllData" ma:web="b5737041-93b2-43a0-bcdb-35852ee27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75c96a-a3eb-4724-8812-bcfde4c18809">
      <Terms xmlns="http://schemas.microsoft.com/office/infopath/2007/PartnerControls"/>
    </lcf76f155ced4ddcb4097134ff3c332f>
    <TaxCatchAll xmlns="b5737041-93b2-43a0-bcdb-35852ee27dcb" xsi:nil="true"/>
  </documentManagement>
</p:properties>
</file>

<file path=customXml/itemProps1.xml><?xml version="1.0" encoding="utf-8"?>
<ds:datastoreItem xmlns:ds="http://schemas.openxmlformats.org/officeDocument/2006/customXml" ds:itemID="{1E2DFACA-FEAF-40E7-AF84-9B456249ED37}">
  <ds:schemaRefs>
    <ds:schemaRef ds:uri="http://schemas.microsoft.com/sharepoint/v3/contenttype/forms"/>
  </ds:schemaRefs>
</ds:datastoreItem>
</file>

<file path=customXml/itemProps2.xml><?xml version="1.0" encoding="utf-8"?>
<ds:datastoreItem xmlns:ds="http://schemas.openxmlformats.org/officeDocument/2006/customXml" ds:itemID="{A6C855D9-BF25-4DDA-9038-EC5930FC7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5c96a-a3eb-4724-8812-bcfde4c18809"/>
    <ds:schemaRef ds:uri="b5737041-93b2-43a0-bcdb-35852ee27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91404-8650-4E12-A6A7-D4566B36D46D}">
  <ds:schemaRefs>
    <ds:schemaRef ds:uri="http://schemas.microsoft.com/office/2006/metadata/properties"/>
    <ds:schemaRef ds:uri="http://schemas.microsoft.com/office/infopath/2007/PartnerControls"/>
    <ds:schemaRef ds:uri="8975c96a-a3eb-4724-8812-bcfde4c18809"/>
    <ds:schemaRef ds:uri="b5737041-93b2-43a0-bcdb-35852ee27d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Etchells</dc:creator>
  <cp:keywords/>
  <dc:description/>
  <cp:lastModifiedBy>Abby Etchells</cp:lastModifiedBy>
  <cp:revision>2</cp:revision>
  <dcterms:created xsi:type="dcterms:W3CDTF">2024-09-10T18:57:00Z</dcterms:created>
  <dcterms:modified xsi:type="dcterms:W3CDTF">2024-09-10T18:57:00Z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0x0101005FFB3937A34F5D4DA468519314CF5392</vt:lpwstr>
  </property>
  <property fmtid="{D5CDD505-2E9C-101B-9397-08002B2CF9AE}" pid="3" name="Order">
    <vt:r8>3997400</vt:r8>
  </property>
</Properties>
</file>